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5000" w:type="pct"/>
        <w:tblCellSpacing w:w="0" w:type="dxa"/>
        <w:tblInd w:w="0" w:type="dxa"/>
        <w:shd w:val="clear" w:color="auto" w:fill="FFFFFF"/>
        <w:tblLayout w:type="autofit"/>
        <w:tblCellMar>
          <w:top w:w="0" w:type="dxa"/>
          <w:left w:w="0" w:type="dxa"/>
          <w:bottom w:w="0" w:type="dxa"/>
          <w:right w:w="0" w:type="dxa"/>
        </w:tblCellMar>
      </w:tblPr>
      <w:tblGrid>
        <w:gridCol w:w="8306"/>
      </w:tblGrid>
      <w:tr>
        <w:tblPrEx>
          <w:shd w:val="clear" w:color="auto" w:fill="FFFFFF"/>
          <w:tblCellMar>
            <w:top w:w="0" w:type="dxa"/>
            <w:left w:w="0" w:type="dxa"/>
            <w:bottom w:w="0" w:type="dxa"/>
            <w:right w:w="0" w:type="dxa"/>
          </w:tblCellMar>
        </w:tblPrEx>
        <w:trPr>
          <w:tblCellSpacing w:w="0" w:type="dxa"/>
        </w:trPr>
        <w:tc>
          <w:tcPr>
            <w:tcW w:w="0" w:type="auto"/>
            <w:shd w:val="clear" w:color="auto" w:fill="FFFFFF"/>
            <w:vAlign w:val="center"/>
          </w:tcPr>
          <w:p>
            <w:pPr>
              <w:widowControl/>
              <w:spacing w:line="408" w:lineRule="atLeast"/>
              <w:jc w:val="center"/>
              <w:rPr>
                <w:rFonts w:hint="eastAsia" w:ascii="宋体" w:hAnsi="宋体" w:eastAsia="宋体" w:cs="宋体"/>
                <w:b/>
                <w:bCs/>
                <w:color w:val="333333"/>
                <w:kern w:val="0"/>
                <w:sz w:val="44"/>
                <w:szCs w:val="44"/>
              </w:rPr>
            </w:pPr>
            <w:r>
              <w:rPr>
                <w:rFonts w:hint="eastAsia" w:ascii="宋体" w:hAnsi="宋体" w:eastAsia="宋体" w:cs="宋体"/>
                <w:b/>
                <w:bCs/>
                <w:color w:val="333333"/>
                <w:kern w:val="0"/>
                <w:sz w:val="44"/>
                <w:szCs w:val="44"/>
              </w:rPr>
              <w:t>关于做好我校新型冠状病毒肺炎疫情防控期间助学贷款学生还款救助机制工作的</w:t>
            </w:r>
          </w:p>
          <w:p>
            <w:pPr>
              <w:widowControl/>
              <w:spacing w:line="408" w:lineRule="atLeast"/>
              <w:jc w:val="center"/>
              <w:rPr>
                <w:rFonts w:ascii="宋体" w:hAnsi="宋体" w:eastAsia="宋体" w:cs="宋体"/>
                <w:b/>
                <w:bCs/>
                <w:color w:val="333333"/>
                <w:kern w:val="0"/>
                <w:sz w:val="24"/>
                <w:szCs w:val="24"/>
              </w:rPr>
            </w:pPr>
            <w:bookmarkStart w:id="0" w:name="_GoBack"/>
            <w:bookmarkEnd w:id="0"/>
            <w:r>
              <w:rPr>
                <w:rFonts w:hint="eastAsia" w:ascii="宋体" w:hAnsi="宋体" w:eastAsia="宋体" w:cs="宋体"/>
                <w:b/>
                <w:bCs/>
                <w:color w:val="333333"/>
                <w:kern w:val="0"/>
                <w:sz w:val="44"/>
                <w:szCs w:val="44"/>
              </w:rPr>
              <w:t>通知</w:t>
            </w:r>
          </w:p>
        </w:tc>
      </w:tr>
      <w:tr>
        <w:tblPrEx>
          <w:shd w:val="clear" w:color="auto" w:fill="FFFFFF"/>
          <w:tblCellMar>
            <w:top w:w="0" w:type="dxa"/>
            <w:left w:w="0" w:type="dxa"/>
            <w:bottom w:w="0" w:type="dxa"/>
            <w:right w:w="0" w:type="dxa"/>
          </w:tblCellMar>
        </w:tblPrEx>
        <w:trPr>
          <w:trHeight w:val="450" w:hRule="atLeast"/>
          <w:tblCellSpacing w:w="0" w:type="dxa"/>
        </w:trPr>
        <w:tc>
          <w:tcPr>
            <w:tcW w:w="0" w:type="auto"/>
            <w:shd w:val="clear" w:color="auto" w:fill="FFFFFF"/>
            <w:vAlign w:val="center"/>
          </w:tcPr>
          <w:p>
            <w:pPr>
              <w:widowControl/>
              <w:spacing w:line="306" w:lineRule="atLeast"/>
              <w:jc w:val="center"/>
              <w:rPr>
                <w:rFonts w:ascii="宋体" w:hAnsi="宋体" w:eastAsia="宋体" w:cs="宋体"/>
                <w:color w:val="333333"/>
                <w:kern w:val="0"/>
                <w:sz w:val="18"/>
                <w:szCs w:val="18"/>
              </w:rPr>
            </w:pPr>
          </w:p>
        </w:tc>
      </w:tr>
      <w:tr>
        <w:tblPrEx>
          <w:tblCellMar>
            <w:top w:w="0" w:type="dxa"/>
            <w:left w:w="0" w:type="dxa"/>
            <w:bottom w:w="0" w:type="dxa"/>
            <w:right w:w="0" w:type="dxa"/>
          </w:tblCellMar>
        </w:tblPrEx>
        <w:trPr>
          <w:tblCellSpacing w:w="0" w:type="dxa"/>
        </w:trPr>
        <w:tc>
          <w:tcPr>
            <w:tcW w:w="0" w:type="auto"/>
            <w:shd w:val="clear" w:color="auto" w:fill="FFFFFF"/>
            <w:vAlign w:val="center"/>
          </w:tcPr>
          <w:p>
            <w:pPr>
              <w:widowControl/>
              <w:spacing w:line="306" w:lineRule="atLeast"/>
              <w:jc w:val="right"/>
              <w:rPr>
                <w:rFonts w:ascii="宋体" w:hAnsi="宋体" w:eastAsia="宋体" w:cs="宋体"/>
                <w:color w:val="333333"/>
                <w:kern w:val="0"/>
                <w:sz w:val="18"/>
                <w:szCs w:val="18"/>
              </w:rPr>
            </w:pPr>
          </w:p>
        </w:tc>
      </w:tr>
      <w:tr>
        <w:tblPrEx>
          <w:tblCellMar>
            <w:top w:w="0" w:type="dxa"/>
            <w:left w:w="0" w:type="dxa"/>
            <w:bottom w:w="0" w:type="dxa"/>
            <w:right w:w="0" w:type="dxa"/>
          </w:tblCellMar>
        </w:tblPrEx>
        <w:trPr>
          <w:tblCellSpacing w:w="0" w:type="dxa"/>
        </w:trPr>
        <w:tc>
          <w:tcPr>
            <w:tcW w:w="0" w:type="auto"/>
            <w:shd w:val="clear" w:color="auto" w:fill="FFFFFF"/>
            <w:vAlign w:val="center"/>
          </w:tcPr>
          <w:p>
            <w:pPr>
              <w:widowControl/>
              <w:spacing w:before="100" w:beforeAutospacing="1" w:after="100" w:afterAutospacing="1" w:line="555" w:lineRule="atLeast"/>
              <w:jc w:val="left"/>
              <w:rPr>
                <w:rFonts w:ascii="宋体" w:hAnsi="宋体" w:eastAsia="宋体" w:cs="宋体"/>
                <w:color w:val="333333"/>
                <w:kern w:val="0"/>
                <w:sz w:val="24"/>
                <w:szCs w:val="24"/>
              </w:rPr>
            </w:pPr>
            <w:r>
              <w:rPr>
                <w:rFonts w:hint="eastAsia" w:ascii="宋体" w:hAnsi="宋体" w:eastAsia="宋体" w:cs="宋体"/>
                <w:color w:val="333333"/>
                <w:kern w:val="0"/>
                <w:sz w:val="32"/>
                <w:szCs w:val="32"/>
              </w:rPr>
              <w:t>各二级学院：  </w:t>
            </w:r>
          </w:p>
          <w:p>
            <w:pPr>
              <w:widowControl/>
              <w:spacing w:before="100" w:beforeAutospacing="1" w:after="100" w:afterAutospacing="1" w:line="555" w:lineRule="atLeast"/>
              <w:ind w:firstLine="690"/>
              <w:jc w:val="left"/>
              <w:rPr>
                <w:rFonts w:ascii="宋体" w:hAnsi="宋体" w:eastAsia="宋体" w:cs="宋体"/>
                <w:color w:val="333333"/>
                <w:kern w:val="0"/>
                <w:sz w:val="24"/>
                <w:szCs w:val="24"/>
              </w:rPr>
            </w:pPr>
            <w:r>
              <w:rPr>
                <w:rFonts w:hint="eastAsia" w:ascii="宋体" w:hAnsi="宋体" w:eastAsia="宋体" w:cs="宋体"/>
                <w:color w:val="000000"/>
                <w:spacing w:val="15"/>
                <w:kern w:val="0"/>
                <w:sz w:val="32"/>
                <w:szCs w:val="32"/>
                <w:shd w:val="clear" w:color="auto" w:fill="FFFFFF"/>
              </w:rPr>
              <w:t>近期正值新型冠状病毒肺炎疫情防控的关键时期，为深入贯彻习近平总书记重要指示精神，全面助力打赢疫情防控阻击战，切实保障家庭经济困难学生基本学习生活需求，根据《关于在新型冠状病毒感染肺炎疫情防控期间强化国家助学贷款还款救助机制的通知》（教助中心﹝2020﹞6号）文件精神，现就做好我校疫情防控期间助学贷款学生还款救助机制工作通知如下：  </w:t>
            </w:r>
          </w:p>
          <w:p>
            <w:pPr>
              <w:widowControl/>
              <w:shd w:val="clear" w:color="auto" w:fill="FFFFFF"/>
              <w:spacing w:before="100" w:beforeAutospacing="1" w:after="100" w:afterAutospacing="1" w:line="555" w:lineRule="atLeast"/>
              <w:ind w:firstLine="690"/>
              <w:jc w:val="left"/>
              <w:textAlignment w:val="baseline"/>
              <w:rPr>
                <w:rFonts w:ascii="宋体" w:hAnsi="宋体" w:eastAsia="宋体" w:cs="宋体"/>
                <w:color w:val="333333"/>
                <w:kern w:val="0"/>
                <w:sz w:val="24"/>
                <w:szCs w:val="24"/>
              </w:rPr>
            </w:pPr>
            <w:r>
              <w:rPr>
                <w:rFonts w:hint="eastAsia" w:ascii="宋体" w:hAnsi="宋体" w:eastAsia="宋体" w:cs="宋体"/>
                <w:b/>
                <w:bCs/>
                <w:color w:val="000000"/>
                <w:spacing w:val="15"/>
                <w:kern w:val="0"/>
                <w:sz w:val="32"/>
              </w:rPr>
              <w:t>一、高度重视关注疫情防控期间家庭经济困难学生情况</w:t>
            </w:r>
            <w:r>
              <w:rPr>
                <w:rFonts w:hint="eastAsia" w:ascii="宋体" w:hAnsi="宋体" w:eastAsia="宋体" w:cs="宋体"/>
                <w:color w:val="000000"/>
                <w:spacing w:val="15"/>
                <w:kern w:val="0"/>
                <w:sz w:val="32"/>
                <w:szCs w:val="32"/>
              </w:rPr>
              <w:t>  </w:t>
            </w:r>
          </w:p>
          <w:p>
            <w:pPr>
              <w:widowControl/>
              <w:shd w:val="clear" w:color="auto" w:fill="FFFFFF"/>
              <w:spacing w:before="100" w:beforeAutospacing="1" w:line="555" w:lineRule="atLeast"/>
              <w:ind w:firstLine="690"/>
              <w:jc w:val="left"/>
              <w:textAlignment w:val="baseline"/>
              <w:rPr>
                <w:rFonts w:ascii="宋体" w:hAnsi="宋体" w:eastAsia="宋体" w:cs="宋体"/>
                <w:color w:val="333333"/>
                <w:kern w:val="0"/>
                <w:sz w:val="24"/>
                <w:szCs w:val="24"/>
              </w:rPr>
            </w:pPr>
            <w:r>
              <w:rPr>
                <w:rFonts w:hint="eastAsia" w:ascii="宋体" w:hAnsi="宋体" w:eastAsia="宋体" w:cs="宋体"/>
                <w:color w:val="000000"/>
                <w:spacing w:val="15"/>
                <w:kern w:val="0"/>
                <w:sz w:val="32"/>
                <w:szCs w:val="32"/>
              </w:rPr>
              <w:t>各院系要密切关注疫情防控期间家庭经济困难学生的实际情况，及时了解学生的身体和生活情况，重点聚焦疫情严重地区、贫困地区、农村地区、边远地区，重点关注建档立卡、低保、特困救助供养、残疾等特殊困难学生群体。对受到疫情影响的学生，尤其是家庭经济困难学生，各院系应将实际困难及时反馈学校学生处。  </w:t>
            </w:r>
          </w:p>
          <w:p>
            <w:pPr>
              <w:widowControl/>
              <w:shd w:val="clear" w:color="auto" w:fill="FFFFFF"/>
              <w:spacing w:before="100" w:beforeAutospacing="1" w:line="555" w:lineRule="atLeast"/>
              <w:ind w:firstLine="690"/>
              <w:jc w:val="left"/>
              <w:textAlignment w:val="baseline"/>
              <w:rPr>
                <w:rFonts w:ascii="宋体" w:hAnsi="宋体" w:eastAsia="宋体" w:cs="宋体"/>
                <w:color w:val="333333"/>
                <w:kern w:val="0"/>
                <w:sz w:val="24"/>
                <w:szCs w:val="24"/>
              </w:rPr>
            </w:pPr>
            <w:r>
              <w:rPr>
                <w:rFonts w:hint="eastAsia" w:ascii="宋体" w:hAnsi="宋体" w:eastAsia="宋体" w:cs="宋体"/>
                <w:b/>
                <w:bCs/>
                <w:color w:val="000000"/>
                <w:spacing w:val="15"/>
                <w:kern w:val="0"/>
                <w:sz w:val="32"/>
              </w:rPr>
              <w:t>二、落实文件要求，帮助助学贷款毕业生度过疫情难关</w:t>
            </w:r>
            <w:r>
              <w:rPr>
                <w:rFonts w:hint="eastAsia" w:ascii="宋体" w:hAnsi="宋体" w:eastAsia="宋体" w:cs="宋体"/>
                <w:color w:val="000000"/>
                <w:spacing w:val="15"/>
                <w:kern w:val="0"/>
                <w:sz w:val="32"/>
                <w:szCs w:val="32"/>
              </w:rPr>
              <w:t>  </w:t>
            </w:r>
          </w:p>
          <w:p>
            <w:pPr>
              <w:widowControl/>
              <w:shd w:val="clear" w:color="auto" w:fill="FFFFFF"/>
              <w:spacing w:before="100" w:beforeAutospacing="1" w:line="555" w:lineRule="atLeast"/>
              <w:ind w:firstLine="480"/>
              <w:jc w:val="left"/>
              <w:textAlignment w:val="baseline"/>
              <w:rPr>
                <w:rFonts w:ascii="宋体" w:hAnsi="宋体" w:eastAsia="宋体" w:cs="宋体"/>
                <w:color w:val="333333"/>
                <w:kern w:val="0"/>
                <w:sz w:val="24"/>
                <w:szCs w:val="24"/>
              </w:rPr>
            </w:pPr>
            <w:r>
              <w:rPr>
                <w:rFonts w:hint="eastAsia" w:ascii="宋体" w:hAnsi="宋体" w:eastAsia="宋体" w:cs="宋体"/>
                <w:color w:val="000000"/>
                <w:spacing w:val="15"/>
                <w:kern w:val="0"/>
                <w:sz w:val="32"/>
                <w:szCs w:val="32"/>
              </w:rPr>
              <w:t>各院系应主动联系助学贷款毕业生，履行还款救助的告知程序，对于已经毕业且处于助学贷款还款期的借款学生，如因本人或者直系亲属患新型冠状病毒肺炎失去还款能力的，可提供医院诊断书等材料，报贷款经办机构（生源地或学校）为其申请办理还款救助相关手续，减轻他们的还款压力。  </w:t>
            </w:r>
          </w:p>
          <w:p>
            <w:pPr>
              <w:widowControl/>
              <w:shd w:val="clear" w:color="auto" w:fill="FFFFFF"/>
              <w:spacing w:before="100" w:beforeAutospacing="1" w:line="555" w:lineRule="atLeast"/>
              <w:ind w:left="480"/>
              <w:jc w:val="left"/>
              <w:textAlignment w:val="baseline"/>
              <w:rPr>
                <w:rFonts w:ascii="宋体" w:hAnsi="宋体" w:eastAsia="宋体" w:cs="宋体"/>
                <w:color w:val="333333"/>
                <w:kern w:val="0"/>
                <w:sz w:val="24"/>
                <w:szCs w:val="24"/>
              </w:rPr>
            </w:pPr>
            <w:r>
              <w:rPr>
                <w:rFonts w:hint="eastAsia" w:ascii="宋体" w:hAnsi="宋体" w:eastAsia="宋体" w:cs="宋体"/>
                <w:color w:val="000000"/>
                <w:spacing w:val="15"/>
                <w:kern w:val="0"/>
                <w:sz w:val="32"/>
                <w:szCs w:val="32"/>
              </w:rPr>
              <w:t>（一）救助对象  </w:t>
            </w:r>
          </w:p>
          <w:p>
            <w:pPr>
              <w:widowControl/>
              <w:shd w:val="clear" w:color="auto" w:fill="FFFFFF"/>
              <w:spacing w:before="100" w:beforeAutospacing="1" w:line="555" w:lineRule="atLeast"/>
              <w:ind w:firstLine="690"/>
              <w:jc w:val="left"/>
              <w:textAlignment w:val="baseline"/>
              <w:rPr>
                <w:rFonts w:ascii="宋体" w:hAnsi="宋体" w:eastAsia="宋体" w:cs="宋体"/>
                <w:color w:val="333333"/>
                <w:kern w:val="0"/>
                <w:sz w:val="24"/>
                <w:szCs w:val="24"/>
              </w:rPr>
            </w:pPr>
            <w:r>
              <w:rPr>
                <w:rFonts w:hint="eastAsia" w:ascii="宋体" w:hAnsi="宋体" w:eastAsia="宋体" w:cs="宋体"/>
                <w:color w:val="000000"/>
                <w:spacing w:val="15"/>
                <w:kern w:val="0"/>
                <w:sz w:val="32"/>
                <w:szCs w:val="32"/>
              </w:rPr>
              <w:t>因本人或家庭直系亲属罹患新型冠状病毒肺炎，导致无力按期偿还国家助学贷款的毕业借款学生。  </w:t>
            </w:r>
          </w:p>
          <w:p>
            <w:pPr>
              <w:widowControl/>
              <w:shd w:val="clear" w:color="auto" w:fill="FFFFFF"/>
              <w:spacing w:before="100" w:beforeAutospacing="1" w:line="555" w:lineRule="atLeast"/>
              <w:ind w:firstLine="510"/>
              <w:jc w:val="left"/>
              <w:textAlignment w:val="baseline"/>
              <w:rPr>
                <w:rFonts w:ascii="宋体" w:hAnsi="宋体" w:eastAsia="宋体" w:cs="宋体"/>
                <w:color w:val="333333"/>
                <w:kern w:val="0"/>
                <w:sz w:val="24"/>
                <w:szCs w:val="24"/>
              </w:rPr>
            </w:pPr>
            <w:r>
              <w:rPr>
                <w:rFonts w:hint="eastAsia" w:ascii="宋体" w:hAnsi="宋体" w:eastAsia="宋体" w:cs="宋体"/>
                <w:color w:val="000000"/>
                <w:spacing w:val="15"/>
                <w:kern w:val="0"/>
                <w:sz w:val="32"/>
                <w:szCs w:val="32"/>
              </w:rPr>
              <w:t>（二）救助额度  </w:t>
            </w:r>
          </w:p>
          <w:p>
            <w:pPr>
              <w:widowControl/>
              <w:shd w:val="clear" w:color="auto" w:fill="FFFFFF"/>
              <w:spacing w:before="100" w:beforeAutospacing="1" w:line="555" w:lineRule="atLeast"/>
              <w:ind w:firstLine="690"/>
              <w:jc w:val="left"/>
              <w:textAlignment w:val="baseline"/>
              <w:rPr>
                <w:rFonts w:ascii="宋体" w:hAnsi="宋体" w:eastAsia="宋体" w:cs="宋体"/>
                <w:color w:val="333333"/>
                <w:kern w:val="0"/>
                <w:sz w:val="24"/>
                <w:szCs w:val="24"/>
              </w:rPr>
            </w:pPr>
            <w:r>
              <w:rPr>
                <w:rFonts w:hint="eastAsia" w:ascii="宋体" w:hAnsi="宋体" w:eastAsia="宋体" w:cs="宋体"/>
                <w:color w:val="000000"/>
                <w:spacing w:val="15"/>
                <w:kern w:val="0"/>
                <w:sz w:val="32"/>
                <w:szCs w:val="32"/>
              </w:rPr>
              <w:t>1.借款学生本人或其直系亲属罹患新型冠状病毒肺炎造成家庭经济困难，无力负担国家助学贷款本息的，可由借款学生本人或书面委托他人申请贷款代偿2019和2020年度国家助学贷款应还本息。  </w:t>
            </w:r>
          </w:p>
          <w:p>
            <w:pPr>
              <w:widowControl/>
              <w:shd w:val="clear" w:color="auto" w:fill="FFFFFF"/>
              <w:spacing w:before="100" w:beforeAutospacing="1" w:line="555" w:lineRule="atLeast"/>
              <w:ind w:firstLine="690"/>
              <w:jc w:val="left"/>
              <w:textAlignment w:val="baseline"/>
              <w:rPr>
                <w:rFonts w:ascii="宋体" w:hAnsi="宋体" w:eastAsia="宋体" w:cs="宋体"/>
                <w:color w:val="333333"/>
                <w:kern w:val="0"/>
                <w:sz w:val="24"/>
                <w:szCs w:val="24"/>
              </w:rPr>
            </w:pPr>
            <w:r>
              <w:rPr>
                <w:rFonts w:hint="eastAsia" w:ascii="宋体" w:hAnsi="宋体" w:eastAsia="宋体" w:cs="宋体"/>
                <w:color w:val="000000"/>
                <w:spacing w:val="15"/>
                <w:kern w:val="0"/>
                <w:sz w:val="32"/>
                <w:szCs w:val="32"/>
              </w:rPr>
              <w:t>2.如果发生借款学生罹患新型冠状病毒肺炎死亡或丧失劳动能力，由共同借款人或其他近亲属申请一次性代偿全部国家助学贷款应还本息。  </w:t>
            </w:r>
          </w:p>
          <w:p>
            <w:pPr>
              <w:widowControl/>
              <w:shd w:val="clear" w:color="auto" w:fill="FFFFFF"/>
              <w:spacing w:before="100" w:beforeAutospacing="1" w:line="555" w:lineRule="atLeast"/>
              <w:ind w:firstLine="690"/>
              <w:jc w:val="left"/>
              <w:textAlignment w:val="baseline"/>
              <w:rPr>
                <w:rFonts w:ascii="宋体" w:hAnsi="宋体" w:eastAsia="宋体" w:cs="宋体"/>
                <w:color w:val="333333"/>
                <w:kern w:val="0"/>
                <w:sz w:val="24"/>
                <w:szCs w:val="24"/>
              </w:rPr>
            </w:pPr>
            <w:r>
              <w:rPr>
                <w:rFonts w:hint="eastAsia" w:ascii="宋体" w:hAnsi="宋体" w:eastAsia="宋体" w:cs="宋体"/>
                <w:color w:val="000000"/>
                <w:spacing w:val="15"/>
                <w:kern w:val="0"/>
                <w:sz w:val="32"/>
                <w:szCs w:val="32"/>
              </w:rPr>
              <w:t>（三）申请还款救助证明  </w:t>
            </w:r>
          </w:p>
          <w:p>
            <w:pPr>
              <w:widowControl/>
              <w:shd w:val="clear" w:color="auto" w:fill="FFFFFF"/>
              <w:spacing w:before="100" w:beforeAutospacing="1" w:line="555" w:lineRule="atLeast"/>
              <w:ind w:firstLine="690"/>
              <w:jc w:val="left"/>
              <w:textAlignment w:val="baseline"/>
              <w:rPr>
                <w:rFonts w:ascii="宋体" w:hAnsi="宋体" w:eastAsia="宋体" w:cs="宋体"/>
                <w:color w:val="333333"/>
                <w:kern w:val="0"/>
                <w:sz w:val="24"/>
                <w:szCs w:val="24"/>
              </w:rPr>
            </w:pPr>
            <w:r>
              <w:rPr>
                <w:rFonts w:hint="eastAsia" w:ascii="宋体" w:hAnsi="宋体" w:eastAsia="宋体" w:cs="宋体"/>
                <w:color w:val="000000"/>
                <w:spacing w:val="15"/>
                <w:kern w:val="0"/>
                <w:sz w:val="32"/>
                <w:szCs w:val="32"/>
              </w:rPr>
              <w:t>1.第一类需要申请人提供由县级以上医院出具的借款学生本人或其直系亲属罹患新型冠状病毒肺炎的确诊证明和病历复印件以及借款学生本人签字确认的无力偿还国家助学贷款的申请表。  </w:t>
            </w:r>
          </w:p>
          <w:p>
            <w:pPr>
              <w:widowControl/>
              <w:shd w:val="clear" w:color="auto" w:fill="FFFFFF"/>
              <w:spacing w:before="100" w:beforeAutospacing="1" w:line="555" w:lineRule="atLeast"/>
              <w:ind w:firstLine="690"/>
              <w:jc w:val="left"/>
              <w:textAlignment w:val="baseline"/>
              <w:rPr>
                <w:rFonts w:ascii="宋体" w:hAnsi="宋体" w:eastAsia="宋体" w:cs="宋体"/>
                <w:color w:val="333333"/>
                <w:kern w:val="0"/>
                <w:sz w:val="24"/>
                <w:szCs w:val="24"/>
              </w:rPr>
            </w:pPr>
            <w:r>
              <w:rPr>
                <w:rFonts w:hint="eastAsia" w:ascii="宋体" w:hAnsi="宋体" w:eastAsia="宋体" w:cs="宋体"/>
                <w:color w:val="000000"/>
                <w:spacing w:val="15"/>
                <w:kern w:val="0"/>
                <w:sz w:val="32"/>
                <w:szCs w:val="32"/>
              </w:rPr>
              <w:t>2.第二类需要申请人提供公安机关出具的借款学生死亡证明、居民户口注销证明或县级以上（含县级）劳动鉴定委员会提供的劳动能力鉴定证明。  </w:t>
            </w:r>
          </w:p>
          <w:p>
            <w:pPr>
              <w:widowControl/>
              <w:shd w:val="clear" w:color="auto" w:fill="FFFFFF"/>
              <w:spacing w:before="100" w:beforeAutospacing="1" w:line="555" w:lineRule="atLeast"/>
              <w:ind w:firstLine="480"/>
              <w:jc w:val="left"/>
              <w:textAlignment w:val="baseline"/>
              <w:rPr>
                <w:rFonts w:ascii="宋体" w:hAnsi="宋体" w:eastAsia="宋体" w:cs="宋体"/>
                <w:color w:val="333333"/>
                <w:kern w:val="0"/>
                <w:sz w:val="24"/>
                <w:szCs w:val="24"/>
              </w:rPr>
            </w:pPr>
            <w:r>
              <w:rPr>
                <w:rFonts w:hint="eastAsia" w:ascii="宋体" w:hAnsi="宋体" w:eastAsia="宋体" w:cs="宋体"/>
                <w:color w:val="000000"/>
                <w:spacing w:val="15"/>
                <w:kern w:val="0"/>
                <w:sz w:val="32"/>
                <w:szCs w:val="32"/>
              </w:rPr>
              <w:t>各学院要迅速、精准摸清所有家庭经济困难学生受疫情影响的情况，疫情防控结束后将有关名单报送学生处。  </w:t>
            </w:r>
          </w:p>
          <w:p>
            <w:pPr>
              <w:widowControl/>
              <w:spacing w:before="100" w:beforeAutospacing="1" w:after="100" w:afterAutospacing="1" w:line="555" w:lineRule="atLeast"/>
              <w:jc w:val="left"/>
              <w:rPr>
                <w:rFonts w:ascii="宋体" w:hAnsi="宋体" w:eastAsia="宋体" w:cs="宋体"/>
                <w:color w:val="333333"/>
                <w:kern w:val="0"/>
                <w:sz w:val="24"/>
                <w:szCs w:val="24"/>
              </w:rPr>
            </w:pPr>
            <w:r>
              <w:rPr>
                <w:rFonts w:hint="eastAsia" w:ascii="宋体" w:hAnsi="宋体" w:eastAsia="宋体" w:cs="宋体"/>
                <w:color w:val="000000"/>
                <w:spacing w:val="15"/>
                <w:kern w:val="0"/>
                <w:sz w:val="32"/>
                <w:szCs w:val="32"/>
              </w:rPr>
              <w:t> </w:t>
            </w:r>
            <w:r>
              <w:rPr>
                <w:rFonts w:hint="eastAsia" w:ascii="宋体" w:hAnsi="宋体" w:eastAsia="宋体" w:cs="宋体"/>
                <w:color w:val="333333"/>
                <w:kern w:val="0"/>
                <w:sz w:val="24"/>
                <w:szCs w:val="24"/>
              </w:rPr>
              <w:t xml:space="preserve">                                           </w:t>
            </w:r>
            <w:r>
              <w:rPr>
                <w:rFonts w:hint="eastAsia" w:ascii="宋体" w:hAnsi="宋体" w:eastAsia="宋体" w:cs="宋体"/>
                <w:color w:val="000000"/>
                <w:spacing w:val="15"/>
                <w:kern w:val="0"/>
                <w:sz w:val="32"/>
                <w:szCs w:val="32"/>
              </w:rPr>
              <w:t>学生处  </w:t>
            </w:r>
          </w:p>
          <w:p>
            <w:pPr>
              <w:widowControl/>
              <w:spacing w:before="100" w:beforeAutospacing="1" w:after="100" w:afterAutospacing="1" w:line="555" w:lineRule="atLeast"/>
              <w:ind w:firstLine="4725" w:firstLineChars="1350"/>
              <w:jc w:val="left"/>
              <w:rPr>
                <w:rFonts w:ascii="宋体" w:hAnsi="宋体" w:eastAsia="宋体" w:cs="宋体"/>
                <w:color w:val="333333"/>
                <w:kern w:val="0"/>
                <w:sz w:val="24"/>
                <w:szCs w:val="24"/>
              </w:rPr>
            </w:pPr>
            <w:r>
              <w:rPr>
                <w:rFonts w:hint="eastAsia" w:ascii="宋体" w:hAnsi="宋体" w:eastAsia="宋体" w:cs="宋体"/>
                <w:color w:val="000000"/>
                <w:spacing w:val="15"/>
                <w:kern w:val="0"/>
                <w:sz w:val="32"/>
                <w:szCs w:val="32"/>
              </w:rPr>
              <w:t>2020年2月12日  </w:t>
            </w:r>
          </w:p>
        </w:tc>
      </w:tr>
      <w:tr>
        <w:tblPrEx>
          <w:tblCellMar>
            <w:top w:w="0" w:type="dxa"/>
            <w:left w:w="0" w:type="dxa"/>
            <w:bottom w:w="0" w:type="dxa"/>
            <w:right w:w="0" w:type="dxa"/>
          </w:tblCellMar>
        </w:tblPrEx>
        <w:trPr>
          <w:tblCellSpacing w:w="0" w:type="dxa"/>
        </w:trPr>
        <w:tc>
          <w:tcPr>
            <w:tcW w:w="0" w:type="auto"/>
            <w:shd w:val="clear" w:color="auto" w:fill="FFFFFF"/>
            <w:vAlign w:val="center"/>
          </w:tcPr>
          <w:p>
            <w:pPr>
              <w:widowControl/>
              <w:spacing w:line="306" w:lineRule="atLeast"/>
              <w:jc w:val="left"/>
              <w:rPr>
                <w:rFonts w:ascii="宋体" w:hAnsi="宋体" w:eastAsia="宋体" w:cs="宋体"/>
                <w:color w:val="222222"/>
                <w:kern w:val="0"/>
                <w:sz w:val="18"/>
                <w:szCs w:val="18"/>
              </w:rPr>
            </w:pPr>
          </w:p>
        </w:tc>
      </w:tr>
      <w:tr>
        <w:tblPrEx>
          <w:tblCellMar>
            <w:top w:w="0" w:type="dxa"/>
            <w:left w:w="0" w:type="dxa"/>
            <w:bottom w:w="0" w:type="dxa"/>
            <w:right w:w="0" w:type="dxa"/>
          </w:tblCellMar>
        </w:tblPrEx>
        <w:trPr>
          <w:tblCellSpacing w:w="0" w:type="dxa"/>
        </w:trPr>
        <w:tc>
          <w:tcPr>
            <w:tcW w:w="0" w:type="auto"/>
            <w:shd w:val="clear" w:color="auto" w:fill="FFFFFF"/>
            <w:vAlign w:val="center"/>
          </w:tcPr>
          <w:p>
            <w:pPr>
              <w:widowControl/>
              <w:spacing w:line="306" w:lineRule="atLeast"/>
              <w:jc w:val="left"/>
              <w:rPr>
                <w:rFonts w:ascii="宋体" w:hAnsi="宋体" w:eastAsia="宋体" w:cs="宋体"/>
                <w:color w:val="333333"/>
                <w:kern w:val="0"/>
                <w:sz w:val="18"/>
                <w:szCs w:val="18"/>
              </w:rPr>
            </w:pPr>
          </w:p>
        </w:tc>
      </w:tr>
      <w:tr>
        <w:tblPrEx>
          <w:tblCellMar>
            <w:top w:w="0" w:type="dxa"/>
            <w:left w:w="0" w:type="dxa"/>
            <w:bottom w:w="0" w:type="dxa"/>
            <w:right w:w="0" w:type="dxa"/>
          </w:tblCellMar>
        </w:tblPrEx>
        <w:trPr>
          <w:tblCellSpacing w:w="0" w:type="dxa"/>
        </w:trPr>
        <w:tc>
          <w:tcPr>
            <w:tcW w:w="0" w:type="auto"/>
            <w:shd w:val="clear" w:color="auto" w:fill="FFFFFF"/>
            <w:vAlign w:val="center"/>
          </w:tcPr>
          <w:p>
            <w:pPr>
              <w:widowControl/>
              <w:spacing w:line="306" w:lineRule="atLeast"/>
              <w:jc w:val="left"/>
              <w:rPr>
                <w:rFonts w:ascii="宋体" w:hAnsi="宋体" w:eastAsia="宋体" w:cs="宋体"/>
                <w:color w:val="333333"/>
                <w:kern w:val="0"/>
                <w:sz w:val="18"/>
                <w:szCs w:val="18"/>
              </w:rPr>
            </w:pPr>
          </w:p>
        </w:tc>
      </w:tr>
      <w:tr>
        <w:tblPrEx>
          <w:tblCellMar>
            <w:top w:w="0" w:type="dxa"/>
            <w:left w:w="0" w:type="dxa"/>
            <w:bottom w:w="0" w:type="dxa"/>
            <w:right w:w="0" w:type="dxa"/>
          </w:tblCellMar>
        </w:tblPrEx>
        <w:trPr>
          <w:tblCellSpacing w:w="0" w:type="dxa"/>
        </w:trPr>
        <w:tc>
          <w:tcPr>
            <w:tcW w:w="0" w:type="auto"/>
            <w:shd w:val="clear" w:color="auto" w:fill="FFFFFF"/>
            <w:vAlign w:val="center"/>
          </w:tcPr>
          <w:p>
            <w:pPr>
              <w:widowControl/>
              <w:spacing w:line="306" w:lineRule="atLeast"/>
              <w:jc w:val="center"/>
              <w:rPr>
                <w:rFonts w:ascii="宋体" w:hAnsi="宋体" w:eastAsia="宋体" w:cs="宋体"/>
                <w:color w:val="333333"/>
                <w:kern w:val="0"/>
                <w:sz w:val="18"/>
                <w:szCs w:val="18"/>
              </w:rPr>
            </w:pPr>
          </w:p>
        </w:tc>
      </w:tr>
      <w:tr>
        <w:tblPrEx>
          <w:tblCellMar>
            <w:top w:w="0" w:type="dxa"/>
            <w:left w:w="0" w:type="dxa"/>
            <w:bottom w:w="0" w:type="dxa"/>
            <w:right w:w="0" w:type="dxa"/>
          </w:tblCellMar>
        </w:tblPrEx>
        <w:trPr>
          <w:tblCellSpacing w:w="0" w:type="dxa"/>
        </w:trPr>
        <w:tc>
          <w:tcPr>
            <w:tcW w:w="0" w:type="auto"/>
            <w:shd w:val="clear" w:color="auto" w:fill="FFFFFF"/>
            <w:vAlign w:val="center"/>
          </w:tcPr>
          <w:p>
            <w:pPr>
              <w:widowControl/>
              <w:jc w:val="left"/>
              <w:rPr>
                <w:rFonts w:ascii="宋体" w:hAnsi="宋体" w:eastAsia="宋体" w:cs="宋体"/>
                <w:kern w:val="0"/>
                <w:sz w:val="18"/>
                <w:szCs w:val="1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550DA"/>
    <w:rsid w:val="00027C45"/>
    <w:rsid w:val="00165053"/>
    <w:rsid w:val="00271669"/>
    <w:rsid w:val="004550DA"/>
    <w:rsid w:val="00894925"/>
    <w:rsid w:val="00A542C5"/>
    <w:rsid w:val="00AF7CA4"/>
    <w:rsid w:val="00E73A9F"/>
    <w:rsid w:val="0F391D1B"/>
    <w:rsid w:val="4CB10A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semiHidden/>
    <w:unhideWhenUsed/>
    <w:qFormat/>
    <w:uiPriority w:val="99"/>
    <w:pPr>
      <w:tabs>
        <w:tab w:val="center" w:pos="4153"/>
        <w:tab w:val="right" w:pos="8306"/>
      </w:tabs>
      <w:snapToGrid w:val="0"/>
      <w:jc w:val="left"/>
    </w:pPr>
    <w:rPr>
      <w:sz w:val="18"/>
      <w:szCs w:val="18"/>
    </w:rPr>
  </w:style>
  <w:style w:type="paragraph" w:styleId="3">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bCs/>
    </w:rPr>
  </w:style>
  <w:style w:type="character" w:customStyle="1" w:styleId="7">
    <w:name w:val="timestyle15151"/>
    <w:basedOn w:val="5"/>
    <w:uiPriority w:val="0"/>
  </w:style>
  <w:style w:type="character" w:customStyle="1" w:styleId="8">
    <w:name w:val="authorstyle15151"/>
    <w:basedOn w:val="5"/>
    <w:uiPriority w:val="0"/>
  </w:style>
  <w:style w:type="character" w:customStyle="1" w:styleId="9">
    <w:name w:val="页眉 Char"/>
    <w:basedOn w:val="5"/>
    <w:link w:val="3"/>
    <w:semiHidden/>
    <w:qFormat/>
    <w:uiPriority w:val="99"/>
    <w:rPr>
      <w:sz w:val="18"/>
      <w:szCs w:val="18"/>
    </w:rPr>
  </w:style>
  <w:style w:type="character" w:customStyle="1" w:styleId="10">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159</Words>
  <Characters>910</Characters>
  <Lines>7</Lines>
  <Paragraphs>2</Paragraphs>
  <TotalTime>2</TotalTime>
  <ScaleCrop>false</ScaleCrop>
  <LinksUpToDate>false</LinksUpToDate>
  <CharactersWithSpaces>1067</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2021-04-25T07:46:00Z</dcterms:created>
  <dc:creator>Administrator</dc:creator>
  <cp:lastModifiedBy>素时锦年</cp:lastModifiedBy>
  <dcterms:modified xsi:type="dcterms:W3CDTF">2021-04-26T03:08:25Z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A9C2400500DF4D7E8F9AC2FD716BF0FE</vt:lpwstr>
  </property>
</Properties>
</file>